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для налогоплательщиков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Департамент финансов Ханты-Мансийского автономного округа – Югры</w:t>
      </w:r>
      <w:r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Депфин Югры</w:t>
      </w:r>
      <w:r>
        <w:rPr>
          <w:rFonts w:eastAsia="Calibri"/>
          <w:sz w:val="28"/>
          <w:szCs w:val="28"/>
        </w:rPr>
        <w:t xml:space="preserve">, уполномоченный орган</w:t>
      </w:r>
      <w:r>
        <w:rPr>
          <w:rFonts w:eastAsia="Calibri"/>
          <w:sz w:val="28"/>
          <w:szCs w:val="28"/>
        </w:rPr>
        <w:t xml:space="preserve">)</w:t>
      </w:r>
      <w:r>
        <w:rPr>
          <w:rFonts w:eastAsia="Calibri"/>
          <w:sz w:val="28"/>
          <w:szCs w:val="28"/>
        </w:rPr>
        <w:t xml:space="preserve"> информирует </w:t>
      </w:r>
      <w:r>
        <w:rPr>
          <w:rFonts w:eastAsia="Calibri"/>
          <w:sz w:val="28"/>
          <w:szCs w:val="28"/>
        </w:rPr>
        <w:t xml:space="preserve">об </w:t>
      </w:r>
      <w:r>
        <w:rPr>
          <w:rFonts w:eastAsia="Calibri"/>
          <w:sz w:val="28"/>
          <w:szCs w:val="28"/>
        </w:rPr>
        <w:t xml:space="preserve">объект</w:t>
      </w:r>
      <w:r>
        <w:rPr>
          <w:rFonts w:eastAsia="Calibri"/>
          <w:sz w:val="28"/>
          <w:szCs w:val="28"/>
        </w:rPr>
        <w:t xml:space="preserve">ах</w:t>
      </w:r>
      <w:r>
        <w:rPr>
          <w:rFonts w:eastAsia="Calibri"/>
          <w:sz w:val="28"/>
          <w:szCs w:val="28"/>
        </w:rPr>
        <w:t xml:space="preserve">, которыми </w:t>
      </w:r>
      <w:r>
        <w:rPr>
          <w:rFonts w:eastAsia="Calibri"/>
          <w:sz w:val="28"/>
          <w:szCs w:val="28"/>
        </w:rPr>
        <w:t xml:space="preserve">с 1</w:t>
      </w:r>
      <w:r>
        <w:rPr>
          <w:rFonts w:eastAsia="Calibri"/>
          <w:sz w:val="28"/>
          <w:szCs w:val="28"/>
        </w:rPr>
        <w:t xml:space="preserve"> января </w:t>
      </w:r>
      <w:r>
        <w:rPr>
          <w:rFonts w:eastAsia="Calibri"/>
          <w:sz w:val="28"/>
          <w:szCs w:val="28"/>
        </w:rPr>
        <w:t xml:space="preserve">20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будет дополнен п</w:t>
      </w:r>
      <w:r>
        <w:rPr>
          <w:rFonts w:eastAsia="Calibri"/>
          <w:sz w:val="28"/>
          <w:szCs w:val="28"/>
        </w:rPr>
        <w:t xml:space="preserve">еречень объектов недвижимого имущества, в отношении которых налоговая база определяется как кадастровая стоимость</w:t>
      </w:r>
      <w:r>
        <w:rPr>
          <w:rFonts w:eastAsia="Calibri"/>
          <w:sz w:val="28"/>
          <w:szCs w:val="28"/>
        </w:rPr>
        <w:t xml:space="preserve"> (далее – Перечень)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в соответствии с </w:t>
      </w:r>
      <w:r>
        <w:rPr>
          <w:rFonts w:eastAsia="Calibri"/>
          <w:sz w:val="28"/>
          <w:szCs w:val="28"/>
        </w:rPr>
        <w:t xml:space="preserve">пункт</w:t>
      </w:r>
      <w:r>
        <w:rPr>
          <w:rFonts w:eastAsia="Calibri"/>
          <w:sz w:val="28"/>
          <w:szCs w:val="28"/>
        </w:rPr>
        <w:t xml:space="preserve">ами</w:t>
      </w:r>
      <w:r>
        <w:rPr>
          <w:rFonts w:eastAsia="Calibri"/>
          <w:sz w:val="28"/>
          <w:szCs w:val="28"/>
        </w:rPr>
        <w:t xml:space="preserve"> 7, </w:t>
      </w:r>
      <w:r>
        <w:rPr>
          <w:rFonts w:eastAsia="Calibri"/>
          <w:sz w:val="28"/>
          <w:szCs w:val="28"/>
        </w:rPr>
        <w:t xml:space="preserve">10 статьи 378.2 Налогового кодекса Российской Федерации (далее – Кодекс)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Ранее сформированный </w:t>
      </w:r>
      <w:r>
        <w:rPr>
          <w:sz w:val="28"/>
          <w:szCs w:val="28"/>
        </w:rPr>
        <w:t xml:space="preserve">Перечень</w:t>
      </w:r>
      <w:r>
        <w:rPr>
          <w:strike w:val="0"/>
          <w:sz w:val="28"/>
          <w:szCs w:val="28"/>
        </w:rPr>
        <w:t xml:space="preserve"> на 2023 год</w:t>
      </w:r>
      <w:r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доп</w:t>
      </w:r>
      <w:r>
        <w:rPr>
          <w:sz w:val="28"/>
          <w:szCs w:val="28"/>
        </w:rPr>
        <w:t xml:space="preserve">олняется объектами недвижимости </w:t>
      </w:r>
      <w:r>
        <w:rPr>
          <w:bCs/>
          <w:sz w:val="28"/>
          <w:szCs w:val="28"/>
        </w:rPr>
        <w:t xml:space="preserve">коммерческого назначения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предварительный перечень), поименованными в подпунктах 1 и 2 пункта 1</w:t>
        <w:br/>
        <w:t xml:space="preserve">статьи 378.2 Кодекса, </w:t>
      </w:r>
      <w:r>
        <w:rPr>
          <w:bCs/>
          <w:sz w:val="28"/>
          <w:szCs w:val="28"/>
        </w:rPr>
        <w:t xml:space="preserve">как фактически используемы</w:t>
      </w:r>
      <w:r>
        <w:rPr>
          <w:bCs/>
          <w:sz w:val="28"/>
          <w:szCs w:val="28"/>
        </w:rPr>
        <w:t xml:space="preserve">ми организациями и физическими лицами (индивидуальными предпринимателями и гражданами)</w:t>
      </w:r>
      <w:r>
        <w:rPr>
          <w:bCs/>
          <w:sz w:val="28"/>
          <w:szCs w:val="28"/>
        </w:rPr>
        <w:t xml:space="preserve"> для размещения офисов, торговых объектов, объектов общественного питания и бытового обслуживания, так и предназначенны</w:t>
      </w:r>
      <w:r>
        <w:rPr>
          <w:bCs/>
          <w:sz w:val="28"/>
          <w:szCs w:val="28"/>
        </w:rPr>
        <w:t xml:space="preserve">ми</w:t>
      </w:r>
      <w:r>
        <w:rPr>
          <w:bCs/>
          <w:sz w:val="28"/>
          <w:szCs w:val="28"/>
        </w:rPr>
        <w:t xml:space="preserve"> для использования в указанных </w:t>
      </w:r>
      <w:r>
        <w:rPr>
          <w:sz w:val="28"/>
          <w:szCs w:val="28"/>
        </w:rPr>
        <w:t xml:space="preserve">целях.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перечень </w:t>
      </w:r>
      <w:r>
        <w:rPr>
          <w:sz w:val="28"/>
          <w:szCs w:val="28"/>
        </w:rPr>
        <w:t xml:space="preserve">в течение сентября-ноября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может быть изменен в связи с дополнением новыми объектами и (или) исключением отдельных объектов по обращениям муниципальных образований или собственников объектов.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Собственникам объектов недвижимости рекомендуется урегулировать с уполномоченным органом вопросы по включению либо не включению объектов в предварительный перечень до наступления налогового периода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года.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Окончательный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включающий объекты из Перечня 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 и предварительного перечня,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5 статьи 5 Кодекса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</w:t>
      </w:r>
      <w:r>
        <w:rPr>
          <w:sz w:val="28"/>
          <w:szCs w:val="28"/>
        </w:rPr>
        <w:t xml:space="preserve"> утвержден приказом Депфина Югры </w:t>
      </w:r>
      <w:r>
        <w:rPr>
          <w:sz w:val="28"/>
          <w:szCs w:val="28"/>
        </w:rPr>
        <w:t xml:space="preserve">до 1 декабря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года и размещен на официальном сайте </w:t>
      </w:r>
      <w:hyperlink r:id="rId8" w:tooltip="http://yandex.ru/clck/jsredir?bu=uniq1517489891048290855&amp;from=yandex.ru%3Bsearch%2F%3Bweb%3B%3B&amp;text=&amp;etext=1684.E2QGyLJy045mXhNhXAchpw-JfGGO1mM2bYlbEL_puBGSZmhWWobQYGWAGNenOPTZtkaluYQmEYYiynv67jyMkLL_GawcIiwCRr7PCyUKpqJjpGkOXpM9Bc6CmVc0f0hA.78db4ff40d9d79f5b3c06eb397960e72f5fb6cd0&amp;uuid=&amp;state=PEtFfuTeVD4jaxywoSUvtB2i7c0_vxGdKJBUN48dhRaQEew_4vPgtaHQTbCUXI3yXF7gMIt8Es9RFLtOmtvshg,,&amp;&amp;cst=AiuY0DBWFJ4BWM_uhLTTxK6KUL3uTuZv6uuL5q-hVEAipg65I4uwb209RIPJoPb_9jgZ0OryOv94AdFV4SUzhD5RuXaeFLpRMfci4y6UxVDO8pNhIMfAetJRmWpmsQ_dGo9ndUmZMuRx2ue12rKlJuxLt1w3Eb8UBfVPyEjGcfY4WvZKKenx6r9Rx860ZFXkXiZ7NJ9-vxk0xE-aMdHyAKfuuUoUbwvkGm6UkLUffVVBofAu3e04Tg,,&amp;data=UlNrNmk5WktYejY4cHFySjRXSWhXQ2lkcGhXMHZHUERwT3pROXVsOHVPWHhJN3dGWTRqUGNGcjhtbEE1d2FvUGN4N3J4WGZCN3ExeHZMOEVITGFiVDFfemJOZTZmZXBaM2Y5X1BVbmlmcncs&amp;sign=e14da893942f7ae83ffa347dfbb530e7&amp;keyno=0&amp;b64e=2&amp;ref=orjY4mGPRjk5boDnW0uvlrrd71vZw9kpjly_ySFdX80,&amp;l10n=ru&amp;cts=1517490690387&amp;mc=3.75" w:history="1">
        <w:r>
          <w:rPr>
            <w:rStyle w:val="605"/>
            <w:rFonts w:eastAsiaTheme="minorHAnsi"/>
            <w:color w:val="0000ff"/>
            <w:sz w:val="28"/>
            <w:szCs w:val="28"/>
            <w:u w:val="single"/>
          </w:rPr>
          <w:t xml:space="preserve">d</w:t>
        </w:r>
        <w:r>
          <w:rPr>
            <w:rStyle w:val="605"/>
            <w:color w:val="0000ff"/>
            <w:sz w:val="28"/>
            <w:szCs w:val="28"/>
            <w:u w:val="single"/>
          </w:rPr>
          <w:t xml:space="preserve">epfin.admhmao.ru</w:t>
        </w:r>
      </w:hyperlink>
      <w:r>
        <w:rPr>
          <w:sz w:val="28"/>
          <w:szCs w:val="28"/>
        </w:rPr>
        <w:t xml:space="preserve"> в разделе «Налоговая политика» </w:t>
      </w:r>
      <w:r>
        <w:rPr>
          <w:sz w:val="28"/>
          <w:szCs w:val="28"/>
        </w:rPr>
        <w:t xml:space="preserve">по ссылке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«Нормативные правовые акты в сфере налогообложения» / «Приказы Департамента финансов Ханты-Мансийского автономного округа – Югры».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включения объектов недвижимости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на налоговый период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получить по телефонам: 8(3467) 3</w:t>
      </w:r>
      <w:r>
        <w:rPr>
          <w:sz w:val="28"/>
          <w:szCs w:val="28"/>
        </w:rPr>
        <w:t xml:space="preserve">60</w:t>
      </w:r>
      <w:r>
        <w:rPr>
          <w:sz w:val="28"/>
          <w:szCs w:val="28"/>
        </w:rPr>
        <w:t xml:space="preserve">-3</w:t>
      </w:r>
      <w:r>
        <w:rPr>
          <w:sz w:val="28"/>
          <w:szCs w:val="28"/>
        </w:rPr>
        <w:t xml:space="preserve">00 (доб. 4246</w:t>
      </w:r>
      <w:r>
        <w:rPr>
          <w:sz w:val="28"/>
          <w:szCs w:val="28"/>
        </w:rPr>
        <w:t xml:space="preserve">, 4239</w:t>
      </w:r>
      <w:r>
        <w:rPr>
          <w:sz w:val="28"/>
          <w:szCs w:val="28"/>
        </w:rPr>
        <w:t xml:space="preserve"> или 4244)</w:t>
      </w:r>
      <w:r>
        <w:rPr>
          <w:sz w:val="28"/>
          <w:szCs w:val="28"/>
        </w:rPr>
        <w:t xml:space="preserve"> (отдел налогово</w:t>
      </w:r>
      <w:r>
        <w:rPr>
          <w:sz w:val="28"/>
          <w:szCs w:val="28"/>
        </w:rPr>
        <w:t xml:space="preserve">й политики Управления доходов</w:t>
      </w:r>
      <w:r>
        <w:rPr>
          <w:sz w:val="28"/>
          <w:szCs w:val="28"/>
        </w:rPr>
        <w:t xml:space="preserve"> и налоговой политики </w:t>
      </w:r>
      <w:r>
        <w:rPr>
          <w:sz w:val="28"/>
          <w:szCs w:val="28"/>
        </w:rPr>
        <w:t xml:space="preserve">Депфина Югры</w:t>
      </w:r>
      <w:r>
        <w:rPr>
          <w:sz w:val="28"/>
          <w:szCs w:val="28"/>
        </w:rPr>
        <w:t xml:space="preserve">).</w:t>
      </w:r>
      <w:r/>
    </w:p>
    <w:p>
      <w:pPr>
        <w:pStyle w:val="603"/>
        <w:ind w:firstLine="709"/>
        <w:jc w:val="both"/>
        <w:spacing w:before="0"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Normal (Web)"/>
    <w:basedOn w:val="59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04">
    <w:name w:val="Hyperlink"/>
    <w:rPr>
      <w:color w:val="0000ff"/>
      <w:u w:val="single"/>
    </w:rPr>
  </w:style>
  <w:style w:type="character" w:styleId="605" w:customStyle="1">
    <w:name w:val="hmao_department_email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yandex.ru/clck/jsredir?bu=uniq1517489891048290855&amp;from=yandex.ru%3Bsearch%2F%3Bweb%3B%3B&amp;text=&amp;etext=1684.E2QGyLJy045mXhNhXAchpw-JfGGO1mM2bYlbEL_puBGSZmhWWobQYGWAGNenOPTZtkaluYQmEYYiynv67jyMkLL_GawcIiwCRr7PCyUKpqJjpGkOXpM9Bc6CmVc0f0hA.78db4ff40d9d79f5b3c06eb397960e72f5fb6cd0&amp;uuid=&amp;state=PEtFfuTeVD4jaxywoSUvtB2i7c0_vxGdKJBUN48dhRaQEew_4vPgtaHQTbCUXI3yXF7gMIt8Es9RFLtOmtvshg,,&amp;&amp;cst=AiuY0DBWFJ4BWM_uhLTTxK6KUL3uTuZv6uuL5q-hVEAipg65I4uwb209RIPJoPb_9jgZ0OryOv94AdFV4SUzhD5RuXaeFLpRMfci4y6UxVDO8pNhIMfAetJRmWpmsQ_dGo9ndUmZMuRx2ue12rKlJuxLt1w3Eb8UBfVPyEjGcfY4WvZKKenx6r9Rx860ZFXkXiZ7NJ9-vxk0xE-aMdHyAKfuuUoUbwvkGm6UkLUffVVBofAu3e04Tg,,&amp;data=UlNrNmk5WktYejY4cHFySjRXSWhXQ2lkcGhXMHZHUERwT3pROXVsOHVPWHhJN3dGWTRqUGNGcjhtbEE1d2FvUGN4N3J4WGZCN3ExeHZMOEVITGFiVDFfemJOZTZmZXBaM2Y5X1BVbmlmcncs&amp;sign=e14da893942f7ae83ffa347dfbb530e7&amp;keyno=0&amp;b64e=2&amp;ref=orjY4mGPRjk5boDnW0uvlrrd71vZw9kpjly_ySFdX80,&amp;l10n=ru&amp;cts=1517490690387&amp;mc=3.7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vaseninaev</dc:creator>
  <cp:revision>9</cp:revision>
  <dcterms:created xsi:type="dcterms:W3CDTF">2023-08-30T11:25:00Z</dcterms:created>
  <dcterms:modified xsi:type="dcterms:W3CDTF">2023-08-31T05:02:55Z</dcterms:modified>
</cp:coreProperties>
</file>